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cf4fe0e4f49f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28284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SVETI IVAN ŽABNO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2.254.571,58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2.697.708,99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119,7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1.870.388,59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1.340.450,47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384.182,99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1.357.258,52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353,3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82.638,80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1.976,88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531.064,71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765.261,26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448.425,91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763.284,38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170,2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350.838,69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74.656,62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74.656,62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276.182,07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870.156,21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razdoblju od 01.01. do 30.09.2026. godine ukupni prihodi poslovanja ostvareni su u iznosu od 2.697.708,99 eura. Najznačajni prihodi u okviru razreda 6 odnose se na prihode od poreza, prihode od pomoći fiskalnog izravnanja, prihode od pomoći proračunu iz drugih proračuna i prihode od komunalne naknade. Općina nije imala prihoda od pomoći temeljem prijenosa EU sredstava.</w:t>
      </w:r>
    </w:p>
    <w:p>
      <w:r>
        <w:t xml:space="preserve">Ukupni rashodi poslovanja u izvještajnom razdoblju iznose 1.340.450,47 eura  i odnose se na rashode za zaposlene, materijalne rashode, prijenose proračunskim korisnicima iz nadležnosti i naknade građanima i kućanstvima.</w:t>
      </w:r>
    </w:p>
    <w:p>
      <w:r>
        <w:t xml:space="preserve">Rashodi za nabavu nefinancijske imovine odnose se na održavanje komunalne infrastrukture za izgradnju pješačkih staza, rekonstrukciju društvenog doma Rašćani, obnovu društvenih domova i zgrada u vlasništvu Općine, energetsku obnovu doma za starije osobe i izgradnju područnog objekta Dječeg vrtića Žabac u Cirkveni.</w:t>
      </w:r>
    </w:p>
    <w:p>
      <w:r>
        <w:t xml:space="preserve">Ukupni primici u iznosu od 350.838,69 eura odnose se na dugoročno zaduživanje za izgradnju područnog objekta dječjeg vrtića.</w:t>
      </w:r>
    </w:p>
    <w:p>
      <w:r>
        <w:t xml:space="preserve">Ukupni izdaci u iznosu od 49.771,08 eura odnose se na otplatu kredita za kapitalni projekt izgradnje školske sportske dvorane.</w:t>
      </w:r>
    </w:p>
    <w:p>
      <w:r>
        <w:t xml:space="preserve">Rezultat izvještajnog razdoblja iznosi višak u iznosu 870.156,21 eura što s prenesenim viškom prihoda iz 2025. godine čini višak prihoda i primitaka raspoloživ u sljedećem razdoblju u iznosu 944.289,01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poreza (šifre 611+612+613+614+615+616)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1.016.967,08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1.350.894,44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132,8</w:t>
            </w:r>
          </w:p>
        </w:tc>
      </w:tr>
    </w:tbl>
    <w:p>
      <w:pPr>
        <w:spacing w:before="0" w:after="0"/>
      </w:pPr>
    </w:p>
    <w:p>
      <w:r>
        <w:t xml:space="preserve">Prihodi od poreza bilježe realizaciju u iznosu od 1.350.894,44 eura odnosno 32,8% više u odnosu na prethodno razdoblje 2025. godine zbog rasta plaća u javnom i privatnom sektoru te veće dobiti obrta i samostalnih djelatnosti koje obavljaju fizičke osobe na  području Općine.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Povrat poreza na dohodak po godišnjoj prijavi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270.528,26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342.315,89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126,5</w:t>
            </w:r>
          </w:p>
        </w:tc>
      </w:tr>
    </w:tbl>
    <w:p>
      <w:pPr>
        <w:spacing w:before="0" w:after="0"/>
      </w:pPr>
    </w:p>
    <w:p>
      <w:r>
        <w:t xml:space="preserve">U ukupnom povratu poreza na dohodak Općina je sudjelovala sa 342.315,89 eura što je povećanje od 26,% u odnosu na prethodnu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940.342,28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1.103.110,18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117,3</w:t>
            </w:r>
          </w:p>
        </w:tc>
      </w:tr>
    </w:tbl>
    <w:p>
      <w:pPr>
        <w:spacing w:before="0" w:after="0"/>
      </w:pPr>
    </w:p>
    <w:p>
      <w:r>
        <w:t xml:space="preserve">Pomoći iz inozemstva i od subjekata unutar općeg proračuna odnose se na:</w:t>
      </w:r>
    </w:p>
    <w:p>
      <w:pPr>
        <w:pStyle w:val="ListParagraph"/>
        <w:numPr>
          <w:ilvl w:val="0"/>
          <w:numId w:val="2"/>
        </w:numPr>
      </w:pPr>
      <w:r>
        <w:t xml:space="preserve">pomoći fiskalnog izravnjanja u iznosu 694.547,10 eura,</w:t>
      </w:r>
    </w:p>
    <w:p>
      <w:pPr>
        <w:pStyle w:val="ListParagraph"/>
        <w:numPr>
          <w:ilvl w:val="0"/>
          <w:numId w:val="2"/>
        </w:numPr>
      </w:pPr>
      <w:r>
        <w:t xml:space="preserve">kapitalne pomoći iz županijskih proračuna u iznosu 130.644,08 eura za izgradnju vodnokomunalne infrastrukture, za sufinanciranje izrade projekta doma za starije, sufinanciranje rekonstrukcije pješačke staze i sufinanciranje rekonstrukcije nerazvrstane ceste NC5</w:t>
      </w:r>
    </w:p>
    <w:p>
      <w:pPr>
        <w:pStyle w:val="ListParagraph"/>
        <w:numPr>
          <w:ilvl w:val="0"/>
          <w:numId w:val="2"/>
        </w:numPr>
      </w:pPr>
      <w:r>
        <w:t xml:space="preserve">kapitane pomoći iz državnog proračuna u iznosu 100.600,00 eura za izgradnju područnog objekta Dječjeg vrtića Žabac</w:t>
      </w:r>
    </w:p>
    <w:p>
      <w:pPr>
        <w:pStyle w:val="ListParagraph"/>
        <w:numPr>
          <w:ilvl w:val="0"/>
          <w:numId w:val="2"/>
        </w:numPr>
      </w:pPr>
      <w:r>
        <w:t xml:space="preserve">pomoći za fiskalnu održivost dječjih vrtića u iznosu 176.887,00 eura te</w:t>
      </w:r>
    </w:p>
    <w:p>
      <w:pPr>
        <w:pStyle w:val="ListParagraph"/>
        <w:numPr>
          <w:ilvl w:val="0"/>
          <w:numId w:val="2"/>
        </w:numPr>
      </w:pPr>
      <w:r>
        <w:t xml:space="preserve">pomoć iz državnog proračuna za predškolu u iznosu 432,00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33.591,49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32.350,07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96,3</w:t>
            </w:r>
          </w:p>
        </w:tc>
      </w:tr>
    </w:tbl>
    <w:p>
      <w:pPr>
        <w:spacing w:before="0" w:after="0"/>
      </w:pPr>
    </w:p>
    <w:p>
      <w:r>
        <w:t xml:space="preserve">Prihodi od imovine odnose se na:</w:t>
      </w:r>
    </w:p>
    <w:p>
      <w:pPr>
        <w:pStyle w:val="ListParagraph"/>
        <w:numPr>
          <w:ilvl w:val="0"/>
          <w:numId w:val="2"/>
        </w:numPr>
      </w:pPr>
      <w:r>
        <w:t xml:space="preserve">prihode od zateznih kamata za zakašnjela plaćanja putem prisline naplate u iznosu 1.721,94 eura</w:t>
      </w:r>
    </w:p>
    <w:p>
      <w:pPr>
        <w:pStyle w:val="ListParagraph"/>
        <w:numPr>
          <w:ilvl w:val="0"/>
          <w:numId w:val="2"/>
        </w:numPr>
      </w:pPr>
      <w:r>
        <w:t xml:space="preserve">prihodi od zakupa poljoprivrednog zemljišta u iznosu 5.292,36 eura</w:t>
      </w:r>
    </w:p>
    <w:p>
      <w:pPr>
        <w:pStyle w:val="ListParagraph"/>
        <w:numPr>
          <w:ilvl w:val="0"/>
          <w:numId w:val="2"/>
        </w:numPr>
      </w:pPr>
      <w:r>
        <w:t xml:space="preserve">ostali prihodi od iznajmljivanja imovine u iznosu 24.379,50 eura</w:t>
      </w:r>
    </w:p>
    <w:p>
      <w:pPr>
        <w:pStyle w:val="ListParagraph"/>
        <w:numPr>
          <w:ilvl w:val="0"/>
          <w:numId w:val="2"/>
        </w:numPr>
      </w:pPr>
      <w:r>
        <w:t xml:space="preserve">prihodi za zadržavanje nezakonito izgrađenih građevina u iznosu od 950,92 eura te</w:t>
      </w:r>
    </w:p>
    <w:p>
      <w:pPr>
        <w:pStyle w:val="ListParagraph"/>
        <w:numPr>
          <w:ilvl w:val="0"/>
          <w:numId w:val="2"/>
        </w:numPr>
      </w:pPr>
      <w:r>
        <w:t xml:space="preserve">prihodi od spomeničke rente u iznosu 5,35 eura.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 posebnim propisima (šifre 6521 do 6528)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105.327,98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43.275,93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41,1</w:t>
            </w:r>
          </w:p>
        </w:tc>
      </w:tr>
    </w:tbl>
    <w:p>
      <w:pPr>
        <w:spacing w:before="0" w:after="0"/>
      </w:pPr>
    </w:p>
    <w:p>
      <w:r>
        <w:t xml:space="preserve">Prihodi po posebnim propisima bilježe značajan pad u odnosu na isto izvještajno razdoblje prethodne godine. Realiziano je 43.275,93 eura što predstavlja 41,1% izvršenja u odnosu na isto izvještajno razdoblje prethodne godine. Smanjenje se u najvećoj mjeri odnosi na smanjenje prihoda vodnog doprinosa te doprinosa za šume.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 i naknade (šifre 6531 do 6533)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150.536,36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162.077,07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107,7</w:t>
            </w:r>
          </w:p>
        </w:tc>
      </w:tr>
    </w:tbl>
    <w:p>
      <w:pPr>
        <w:spacing w:before="0" w:after="0"/>
      </w:pPr>
    </w:p>
    <w:p>
      <w:r>
        <w:t xml:space="preserve">Prihodi od komunalnog doprinosa i komunalne naknade ostvareni su u nešto većem postotku nego u istom razdoblju prethodne godine. Općina je poduzela korake za prislinu naplatu te poslala opomene za zakašnjela plaćanja što je rezultiralo povećanjem naplate u odnosu na prihode ostvarene u prvih šest mjeseci tekuće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156.416,58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196.587,85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125,7</w:t>
            </w:r>
          </w:p>
        </w:tc>
      </w:tr>
    </w:tbl>
    <w:p>
      <w:pPr>
        <w:spacing w:before="0" w:after="0"/>
      </w:pPr>
    </w:p>
    <w:p>
      <w:r>
        <w:t xml:space="preserve">Plaće za redovan rad porasle su u odnosu na prethodno razdoblje za 25,7% zbog povećanja osnovice i koeficijenata službenika, namještenika i dužnosnika.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16.498,90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75.984,08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460,5</w:t>
            </w:r>
          </w:p>
        </w:tc>
      </w:tr>
    </w:tbl>
    <w:p>
      <w:pPr>
        <w:spacing w:before="0" w:after="0"/>
      </w:pPr>
    </w:p>
    <w:p>
      <w:r>
        <w:t xml:space="preserve">Intelektualne i osobne usluge bilježe porast zbog financiranja geodetsko - katastarskih usluga, usluga pripreme postupka javne nabave te izradu izvedbenog projekta za izgradnju područnog objekta dječjeg vrtića.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290.896,39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328.244,32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112,8</w:t>
            </w:r>
          </w:p>
        </w:tc>
      </w:tr>
    </w:tbl>
    <w:p>
      <w:pPr>
        <w:spacing w:before="0" w:after="0"/>
      </w:pPr>
    </w:p>
    <w:p>
      <w:r>
        <w:t xml:space="preserve">Proračunskom korisniku Dječjem vrtiću Žabac doznačeno je ukupno 328.244,32 eura za potrebe redovnog financiranja odgojitelja i osoblja te redovnih materijalnih rashoda.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na temelju osiguranja i druge naknade (šifre 371+372)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74.685,68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74.024,73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99,1</w:t>
            </w:r>
          </w:p>
        </w:tc>
      </w:tr>
    </w:tbl>
    <w:p>
      <w:pPr>
        <w:spacing w:before="0" w:after="0"/>
      </w:pPr>
    </w:p>
    <w:p>
      <w:r>
        <w:t xml:space="preserve">U okviru naknada građanima i kućanstvima koje Općina provodi sukladno donesenom programu dodijeljena su sredstva:</w:t>
      </w:r>
    </w:p>
    <w:p>
      <w:r>
        <w:t xml:space="preserve">•         pomoć obiteljima i kućanstvima u iznosu od 10.534,73 eura</w:t>
      </w:r>
    </w:p>
    <w:p>
      <w:r>
        <w:t xml:space="preserve">•         stipendije i školarine u iznosu 6.300,00 eura</w:t>
      </w:r>
    </w:p>
    <w:p>
      <w:r>
        <w:t xml:space="preserve">•         porodiljne naknade i oprema za novorođenčad u iznosu 23.600,00 eura</w:t>
      </w:r>
    </w:p>
    <w:p>
      <w:r>
        <w:t xml:space="preserve">•         te ostale naknade iz proračuna u novcu u iznosu 33.590,00 eura što se u najvećoj mjeri odnosi na uskrsnice za umirovljenike.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(šifre 3811 do 3813)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98.060,02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124.820,62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127,3</w:t>
            </w:r>
          </w:p>
        </w:tc>
      </w:tr>
    </w:tbl>
    <w:p>
      <w:pPr>
        <w:spacing w:before="0" w:after="0"/>
      </w:pPr>
    </w:p>
    <w:p>
      <w:r>
        <w:t xml:space="preserve">Iznos za tekuće donacije u najvećoj mjeri odnosi se na prijenos vatrogasnoj zajednici za financiranje vatrogastva, ljekarni za uslugu dežurstva, udrugama i političkim strankama, sportskim društvima te prijenos Crvenom križu za provođenje programa Pomoć u kući starijim osobama.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kreditnim i ostalim financijskim institucijama te trgovačkim društvima u javnom sektoru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707.273,06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112.513,77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15,9</w:t>
            </w:r>
          </w:p>
        </w:tc>
      </w:tr>
    </w:tbl>
    <w:p>
      <w:pPr>
        <w:spacing w:before="0" w:after="0"/>
      </w:pPr>
    </w:p>
    <w:p>
      <w:r>
        <w:t xml:space="preserve">Kapitalne pomoći odnose na prijenos Koprivničkim vodama za vodne usluge Križevci - Podružnica za kanalizaciju.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82.638,80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1.976,88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2,4</w:t>
            </w:r>
          </w:p>
        </w:tc>
      </w:tr>
    </w:tbl>
    <w:p>
      <w:pPr>
        <w:spacing w:before="0" w:after="0"/>
      </w:pPr>
    </w:p>
    <w:p>
      <w:r>
        <w:t xml:space="preserve">Ukupni prihodi od prodaje nefinancijske imovine odnose na prihode po obročnoj otplati za prodaju stanova.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neproizvedene dugotrajne imovine (šifre 411+412)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17.412,50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5.635,00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32,4</w:t>
            </w:r>
          </w:p>
        </w:tc>
      </w:tr>
    </w:tbl>
    <w:p>
      <w:pPr>
        <w:spacing w:before="0" w:after="0"/>
      </w:pPr>
    </w:p>
    <w:p>
      <w:r>
        <w:t xml:space="preserve">Rashodi za nabavu neproizvedene dugotrajne imovine odnose se na otkup zemljišta.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Poslovni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387.694,44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Izgradnja poslovnih objekata odnosi se na izgradnju područnog vrtića Žabac u naselju Cirkvena.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108.927,76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66.021,25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60,6</w:t>
            </w:r>
          </w:p>
        </w:tc>
      </w:tr>
    </w:tbl>
    <w:p>
      <w:pPr>
        <w:spacing w:before="0" w:after="0"/>
      </w:pPr>
    </w:p>
    <w:p>
      <w:r>
        <w:t xml:space="preserve">Iznos od 66.021,25 eura za ulaganja u ceste odnosi se na rekonstrukciju nerazvrstanih cesta.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82.375,00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75.713,75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91,9</w:t>
            </w:r>
          </w:p>
        </w:tc>
      </w:tr>
    </w:tbl>
    <w:p>
      <w:pPr>
        <w:spacing w:before="0" w:after="0"/>
      </w:pPr>
    </w:p>
    <w:p>
      <w:r>
        <w:t xml:space="preserve">Iznos od 75.713,75 eura odnosi se na rekonstrukcje pješačkih staza.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350.838,69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Općina je u izvještajnom razdoblju imala iskazane primitke od financijske imovine za dugoročno zaduženje za izgradnju područnog objekta dječjeg vrtića Žabac.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74.656,62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74.656,62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</w:t>
            </w:r>
          </w:p>
        </w:tc>
      </w:tr>
    </w:tbl>
    <w:p>
      <w:pPr>
        <w:spacing w:before="0" w:after="0"/>
      </w:pPr>
    </w:p>
    <w:p>
      <w:r>
        <w:t xml:space="preserve">Općina u izvještajnom razdoblju otplaćuje kredit iz prethodnih godina za izgradnju školske sportske dvorane.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Višak prihoda i primitaka raspoloživ u sljedećem razdoblju (šifre X005 + '9221-9222' - Y005 - '9222-9221')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678.198,17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944.289,01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139,2</w:t>
            </w:r>
          </w:p>
        </w:tc>
      </w:tr>
    </w:tbl>
    <w:p>
      <w:pPr>
        <w:spacing w:before="0" w:after="0"/>
      </w:pPr>
    </w:p>
    <w:p>
      <w:r>
        <w:t xml:space="preserve">U izvještajnom razdoblju ostvaren je višak prihoda u iznosu 870.156,21 eura što s prenesenim viškom iz prethodne godine u iznosu od 74.132,80 eura čini višak prihoda raspoloživ u sljedećem razdoblju u iznosu 944.289,01 eura.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4.795,71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kraju izvještajnog razdoblja odnosi se u najvećoj mjeri na rashode poslovanja za račune knjižene krajem izvještajnog razdoblja.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37.464,61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za rashode poslovanja odnose se na plaću službenicima i namještenicima za mjesec rujan i dio računa za materijalne rashode koji dospijevaju u listopadu.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nabavu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36.855,75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nabavu nefinancijske imovine koje nisu dospjele u najvećoj mjeri odnose se na projekt izgradnje područnog objekta Dječjeg vrtića Žabac  te na obnovu društvenih domova.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financijsku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 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375.724,22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financijsku imovinu čine obveze po kreditu za izgradnju područnog objekta Dječjeg vrtića Žabac.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predujmove, depozite, jamčevne pologe i tuđe prihode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65.835,46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unutar skupine 27 čine obveza za naplaćena vlastita sredstva proračunskog korisnika na računu riznice, obveze za jamčevne pologe i obveze za predujmove za pretplate kod obveznika komunalne naknade.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Općina je krajem izvještajnog razdoblja krenula u projekt Energetske obnove doma za starije osobe te je imala 26.793,75 eura evidentiranih rashoda.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is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4f109a607ce4585" /><Relationship Type="http://schemas.openxmlformats.org/officeDocument/2006/relationships/numbering" Target="/word/numbering.xml" Id="Rc2c3463df65e4404" /></Relationships>
</file>