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A21C7" w:rsidRPr="00314117" w:rsidTr="00F046D4">
        <w:trPr>
          <w:trHeight w:val="7272"/>
        </w:trPr>
        <w:tc>
          <w:tcPr>
            <w:tcW w:w="10173" w:type="dxa"/>
          </w:tcPr>
          <w:p w:rsidR="005A01F7" w:rsidRPr="007F3514" w:rsidRDefault="00FA60E0" w:rsidP="0018120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2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teme</w:t>
            </w:r>
            <w:r w:rsidR="009270AA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lju </w:t>
            </w:r>
            <w:r w:rsidR="00FA21C7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članka 17</w:t>
            </w:r>
            <w:r w:rsidR="00400DA2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21C7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stavak 1. </w:t>
            </w:r>
            <w:r w:rsidR="00364806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podstavak 1. </w:t>
            </w:r>
            <w:r w:rsidR="00FA21C7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civilne zaštite (N</w:t>
            </w:r>
            <w:r w:rsidR="00400DA2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arodne novine broj</w:t>
            </w:r>
            <w:r w:rsidR="004734BA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1C7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82/15</w:t>
            </w:r>
            <w:r w:rsidR="00506CA0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118/18</w:t>
            </w:r>
            <w:r w:rsidR="00181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i </w:t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članka </w:t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DF1D6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0. Statuta </w:t>
            </w:r>
            <w:r w:rsidR="00DF1D6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9270AA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Sveti Ivan Žabno</w:t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(„</w:t>
            </w:r>
            <w:r w:rsidR="00DF1D6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Službeni glasnik Koprivničko-kri</w:t>
            </w:r>
            <w:r w:rsidR="006A02B1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ževačke županije“</w:t>
            </w:r>
            <w:r w:rsidR="001557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="006A02B1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broj 10/13</w:t>
            </w:r>
            <w:r w:rsidR="00506CA0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i 2/18</w:t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DF1D6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Općinsko  vijeće</w:t>
            </w:r>
            <w:r w:rsidR="005A01F7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F1D6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9270AA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Sveti Ivan Žabno</w:t>
            </w:r>
            <w:r w:rsidR="005F739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70AA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r w:rsidR="00506CA0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9270AA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sj</w:t>
            </w:r>
            <w:r w:rsidR="00C7214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ednici održanoj </w:t>
            </w:r>
            <w:r w:rsid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</w:t>
            </w:r>
            <w:r w:rsidR="007F3514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06CA0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studenoga</w:t>
            </w:r>
            <w:r w:rsidR="00C7214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739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506CA0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5F739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d</w:t>
            </w:r>
            <w:r w:rsidR="00DF1D69" w:rsidRPr="007F35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onijelo je</w:t>
            </w:r>
          </w:p>
          <w:p w:rsidR="005A01F7" w:rsidRPr="007F3514" w:rsidRDefault="005A01F7" w:rsidP="0018120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FA21C7" w:rsidRPr="007F3514" w:rsidRDefault="00397283" w:rsidP="005F7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SMJERNICE  ZA ORGANIZACIJU I </w:t>
            </w:r>
            <w:r w:rsidR="00FA21C7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RAZVOJ SUSTAVA CIVILNE</w:t>
            </w:r>
          </w:p>
          <w:p w:rsidR="005F7399" w:rsidRPr="007F3514" w:rsidRDefault="00FA21C7" w:rsidP="005F7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  <w:r w:rsidR="00DF1D69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OPĆINE </w:t>
            </w:r>
            <w:r w:rsidR="00F4526E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SVETI IVAN ŽABNO</w:t>
            </w:r>
          </w:p>
          <w:p w:rsidR="00FA21C7" w:rsidRPr="007F3514" w:rsidRDefault="00FA21C7" w:rsidP="005F7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</w:t>
            </w:r>
            <w:r w:rsidR="005F7399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RAZDOBLJE</w:t>
            </w:r>
            <w:r w:rsidR="00397283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</w:t>
            </w:r>
            <w:r w:rsidR="005A01F7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06CA0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E77A7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do </w:t>
            </w:r>
            <w:r w:rsidR="00397283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506CA0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397283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1D69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GODINE</w:t>
            </w:r>
          </w:p>
          <w:p w:rsidR="005A01F7" w:rsidRPr="007F3514" w:rsidRDefault="005A01F7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Pr="007F3514" w:rsidRDefault="00FA21C7" w:rsidP="0018120C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E45063" w:rsidRPr="007F3514" w:rsidRDefault="00FA21C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E45063" w:rsidRPr="007F351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o sustavu civilne zaštite („Narodne novine“ broj 82/15</w:t>
            </w:r>
            <w:r w:rsidR="00B72A74" w:rsidRPr="007F3514">
              <w:rPr>
                <w:rFonts w:ascii="Times New Roman" w:hAnsi="Times New Roman" w:cs="Times New Roman"/>
                <w:sz w:val="24"/>
                <w:szCs w:val="24"/>
              </w:rPr>
              <w:t>. i 118/18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5063" w:rsidRPr="007F3514"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E45063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E45063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sustav civilne zaštit</w:t>
            </w:r>
            <w:r w:rsidR="005F7399" w:rsidRPr="007F3514">
              <w:rPr>
                <w:rFonts w:ascii="Times New Roman" w:hAnsi="Times New Roman" w:cs="Times New Roman"/>
                <w:sz w:val="24"/>
                <w:szCs w:val="24"/>
              </w:rPr>
              <w:t>e obuhvaća mjere i aktivnosti (</w:t>
            </w:r>
            <w:r w:rsidR="00E45063" w:rsidRPr="007F3514">
              <w:rPr>
                <w:rFonts w:ascii="Times New Roman" w:hAnsi="Times New Roman" w:cs="Times New Roman"/>
                <w:sz w:val="24"/>
                <w:szCs w:val="24"/>
              </w:rPr>
              <w:t>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9E77A7" w:rsidRPr="007F3514" w:rsidRDefault="009E77A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Sustav civilne zaštite ustrojava se na lokalnoj, područnoj i državnoj  razini te povezuje resurse i sposobnosti sudionika operativnih snaga i građana u jedinstvenu cjelinu radi smanjenja rizika od katastrofa, pružanja brzog odgovora  na prijetnje i opasnosti nastanka, te ublažavanja posljedica velike nesreće ili katastrofe.</w:t>
            </w:r>
          </w:p>
          <w:p w:rsidR="009E77A7" w:rsidRPr="007F3514" w:rsidRDefault="009E77A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Brzo i učinkovito djelovanje operativnih snaga civilne zaštite u velikim nesrećama i katastrofama može spasiti mnoge živote, smanjiti socijalno ekonomske, infrastrukturalne i sigurnosne poremećaje i spriječiti naknadne nesreće koje mogu izazvati veće posljedice od utjecaja ugroze koja je već nastupila.</w:t>
            </w:r>
          </w:p>
          <w:p w:rsidR="00B11F5B" w:rsidRPr="007F3514" w:rsidRDefault="009E77A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Smjernice se kratkoročno odnose na procjene rizika od velikih nesreća i plan djelovanja civilne zaštite kao temeljnih dokumenata za daljnje funkcioniranje samog sustava civilne zaštite, a dugoročno predstavlja kontinuirani proces provođenja aktivnosti kojima će se iz godine u godinu razvijati i usavršavati sustav civilne zaštite kako bi se postigao najviši standard potreban za provedbu zadaća svih operativnih snaga. </w:t>
            </w:r>
            <w:r w:rsidR="008A5BCB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B76CB6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djelovanja </w:t>
            </w:r>
            <w:r w:rsidR="008A5BCB" w:rsidRPr="007F3514">
              <w:rPr>
                <w:rFonts w:ascii="Times New Roman" w:hAnsi="Times New Roman" w:cs="Times New Roman"/>
                <w:sz w:val="24"/>
                <w:szCs w:val="24"/>
              </w:rPr>
              <w:t>civilne zaštite donijet će općinski načelnik sukladno zakonu.</w:t>
            </w:r>
          </w:p>
          <w:p w:rsidR="00397283" w:rsidRPr="007F3514" w:rsidRDefault="00B11F5B" w:rsidP="00181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9E77A7" w:rsidRPr="007F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SMJERNICE</w:t>
            </w:r>
          </w:p>
          <w:p w:rsidR="00397283" w:rsidRPr="007F3514" w:rsidRDefault="002D4C03" w:rsidP="0018120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OPERATIVNE SNAGE SUSTAVA CIVILNE ZAŠTITE</w:t>
            </w:r>
          </w:p>
          <w:p w:rsidR="002D4C03" w:rsidRPr="007F3514" w:rsidRDefault="002D4C03" w:rsidP="0018120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1C7" w:rsidRPr="007F3514" w:rsidRDefault="002D4C0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Mjere i aktivnosti u sustavu civilne zaštite provode slijedeće operativne snage sustava civilne zaštite</w:t>
            </w:r>
            <w:r w:rsidR="00FA21C7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D4C03" w:rsidRPr="007F3514" w:rsidRDefault="00FA21C7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 </w:t>
            </w:r>
            <w:r w:rsidR="002D4C0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civilne 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zaštite </w:t>
            </w:r>
          </w:p>
          <w:p w:rsidR="002D4C03" w:rsidRPr="007F3514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operativne snage vatrogastva</w:t>
            </w:r>
          </w:p>
          <w:p w:rsidR="002D4C03" w:rsidRPr="007F3514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operativne snage Hrvatskog 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rvenog križa</w:t>
            </w:r>
          </w:p>
          <w:p w:rsidR="002D4C03" w:rsidRPr="007F3514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udruge</w:t>
            </w:r>
          </w:p>
          <w:p w:rsidR="002D4C03" w:rsidRPr="007F3514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postrojbe i povjerenici civilne zaštite</w:t>
            </w:r>
          </w:p>
          <w:p w:rsidR="002D4C03" w:rsidRPr="007F3514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koordinatori na lokaciji</w:t>
            </w:r>
          </w:p>
          <w:p w:rsidR="002D4C03" w:rsidRPr="007F3514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pravne osobe u sustavu civilne zaštite</w:t>
            </w:r>
            <w:r w:rsidR="00B4754F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20C" w:rsidRPr="007F3514" w:rsidRDefault="0043759F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Temeljem članka 17. stavak 3. podstavak 6. Zakona o civilnoj zaštiti </w:t>
            </w:r>
            <w:r w:rsidR="00DF1D6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općinski načelnik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odgovor</w:t>
            </w:r>
            <w:r w:rsidR="00DF1D6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osnivanje operativnih snaga civilne zaštite sukladno usvojenim smjernicama i planu razvoja sustava civilne zaštite te sukladno članku 17. </w:t>
            </w:r>
            <w:r w:rsidR="00762D9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F1D6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tavak 3. podstavak 2. n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avedenog Zakona donosi plan  odnosno vrstu i način provođenja vježbi operativnih snaga sustava civilne zaštite.</w:t>
            </w:r>
          </w:p>
          <w:p w:rsidR="00F1420C" w:rsidRPr="007F3514" w:rsidRDefault="00DF1D69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F4526E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 Ivan Žabno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će sukladno članku 20. </w:t>
            </w:r>
            <w:r w:rsidR="00762D9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tavak</w:t>
            </w:r>
            <w:r w:rsidR="00762D9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2D9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Zakona o sustavu civilne zaštite  zajedno sa operativnim snagama civilne zaštite voditi i ažurirati bazu podataka o pripadnicima i resursima operativnih snaga, te o promjenama dostavljati podatke Državnoj upravi za zaštitu i spašavanje  putem Područnog ureda Koprivnica.</w:t>
            </w:r>
          </w:p>
          <w:p w:rsidR="0043759F" w:rsidRPr="007F3514" w:rsidRDefault="0012790A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STOŽER CIVILNE ZAŠTITE </w:t>
            </w:r>
            <w:r w:rsidR="0043759F"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759F"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6619A" w:rsidRPr="007F3514" w:rsidRDefault="0086619A" w:rsidP="00866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 civilne zaštite uz načelnika i zamjenika načelnika Stožera 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broji 8 članova 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stručno je, operativno i koordinativno tijelo koje pruža stručnu pomoć i priprema akcije zaštite i spašavanja kojima rukovodi općinski načelnik. </w:t>
            </w:r>
          </w:p>
          <w:p w:rsidR="0086619A" w:rsidRPr="007F3514" w:rsidRDefault="0086619A" w:rsidP="00866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 civilne zaštite se aktivira kada se proglasi stanje neposredne prijetnje, katastrofe i velike nesreće. </w:t>
            </w:r>
          </w:p>
          <w:p w:rsidR="0086619A" w:rsidRPr="007F3514" w:rsidRDefault="0086619A" w:rsidP="00866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Kontakt podaci Stožera (adrese, fiksni i mobilni telefonski brojevi) kontinuirano se ažuriraju u planskim dokumentima. </w:t>
            </w:r>
          </w:p>
          <w:p w:rsidR="00F1420C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Članovi stožera civilne zaštite obvezni su završiti osposobljavanje koje provodi Državna uprava za zaštitu i spašavanje prema Programu osposobljavanja članova stožera civilne zaštite.</w:t>
            </w:r>
          </w:p>
          <w:p w:rsidR="00F1420C" w:rsidRPr="007F3514" w:rsidRDefault="00F1420C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OPERATIVNE SNAGE VATROGASTVA</w:t>
            </w:r>
          </w:p>
          <w:p w:rsidR="00F1420C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Operativne snage vatrogastva temeljna su operativna snaga sustava civilne zaštite koje djeluju u sustavu civilne zaštite u skladu s odredbama posebnih propisa kojima se uređuje područje vatrogastva.</w:t>
            </w:r>
          </w:p>
          <w:p w:rsidR="0043759F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Broj, vrsta, opremljenost  i veličina vatrogasnih postrojbi određena je Planom zaštite od po</w:t>
            </w:r>
            <w:r w:rsidR="005912D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žara Općine </w:t>
            </w:r>
            <w:r w:rsidR="00DE7A8E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 Ivan Žabno</w:t>
            </w:r>
            <w:r w:rsidR="005912D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759F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razdoblju od 20</w:t>
            </w:r>
            <w:r w:rsidR="0053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691E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53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691E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</w:t>
            </w:r>
            <w:r w:rsidR="005A691E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potrebno je provoditi različite oblike osposobljavanja </w:t>
            </w:r>
            <w:r w:rsidR="005912D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dobrovoljnih vatrogasaca 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redovito obavljati liječničke preglede sukladno posebnim propisima.</w:t>
            </w:r>
          </w:p>
          <w:p w:rsidR="0043759F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Posebnu pažnju treba posvetiti radu sa vatrogasnom mladeži kao mogućim budućim vatrogascima, ali se ne smije zanemariti ni edukacija građana posebno poljoprivrednika u vezi spaljivanja biljnog otpada zbog  mogućnosti izbijanja požara na otvorenim prostorima, ali i štetnosti na okoliš. Potrebno je osvijestiti, upoznati javnost i provoditi aktivnosti u svrhu povećanja sigurnosti od nastanka požara.</w:t>
            </w:r>
          </w:p>
          <w:p w:rsidR="0043759F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Zakonu o zaštiti od požara („Narodne novine“ broj 92/10.) u razmatranom periodu potrebno je:</w:t>
            </w:r>
          </w:p>
          <w:p w:rsidR="00F1420C" w:rsidRPr="007F3514" w:rsidRDefault="00F1420C" w:rsidP="00181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Donijeti godišnji provedbeni plan unapređenja zaštite od požara</w:t>
            </w:r>
            <w:r w:rsidR="005F739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420C" w:rsidRPr="007F3514" w:rsidRDefault="00F1420C" w:rsidP="00181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izraditi izvješće o stanju zaštite od požara na svom području i stanju provedbe godišnjeg provedbenog plana unapređenja zaštite od požara</w:t>
            </w:r>
            <w:r w:rsidR="005F739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420C" w:rsidRPr="007F3514" w:rsidRDefault="00F1420C" w:rsidP="00181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donijeti plan motrilačko dojavne službe za vrijeme povećane požar</w:t>
            </w:r>
            <w:r w:rsidR="006512D0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opasnosti otvorenog prostora</w:t>
            </w:r>
            <w:r w:rsidR="005F739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12D0" w:rsidRPr="007F3514" w:rsidRDefault="006512D0" w:rsidP="005F7399">
            <w:pPr>
              <w:pStyle w:val="Odlomakpopisa"/>
              <w:ind w:left="6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0C" w:rsidRPr="007F3514" w:rsidRDefault="00F1420C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OPERATIVNE SNAGE CRVENOG KRIŽA</w:t>
            </w:r>
          </w:p>
          <w:p w:rsidR="0043759F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Operativna snaga Hrvatskog Crvenog križa je Gradsko društvo Crvenog križa </w:t>
            </w:r>
            <w:r w:rsidR="006512D0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Križevci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koje je temeljna operativna snaga sustava civilne zaštite u velikim nesrećama i katastrofama u izvršavanju obveza sustava civilne zaštite sukladno Zakonu o Hrvatskom Crvenom križu, Statutu Hrvatskog Crvenog križa i drugim važećim propisima.</w:t>
            </w:r>
          </w:p>
          <w:p w:rsidR="0043759F" w:rsidRPr="007F351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Osim navedenog Gradsko društvo Crvenog križa</w:t>
            </w:r>
            <w:r w:rsidR="00B4754F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Križevci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traži, prima i raspoređuje humanitarnu pomoć za potrebe na području svog djelovanja, obučava i oprema ekipe za izvršavanje zadaća u slučaju velikih prirodnih, ekoloških i drugih nesreća s posljedicama masovnih stradanja i epidemija.</w:t>
            </w:r>
          </w:p>
          <w:p w:rsidR="00F1420C" w:rsidRPr="007F3514" w:rsidRDefault="006512D0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D52011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Žabno 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nastaviti će s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54F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financiranjem Gradskog društva C</w:t>
            </w:r>
            <w:r w:rsidR="00F1420C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rvenog križa sukladno važećim propisima.</w:t>
            </w:r>
          </w:p>
          <w:p w:rsidR="00F1420C" w:rsidRPr="007F3514" w:rsidRDefault="00EF63B2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UDRUGE</w:t>
            </w:r>
          </w:p>
          <w:p w:rsidR="00EF63B2" w:rsidRPr="007F3514" w:rsidRDefault="00EF63B2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području </w:t>
            </w:r>
            <w:r w:rsidR="00B4754F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D52011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 Ivan Žabno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djeluju udruge koje različitim aktivnostima njeguju specifična znanja i vještine koje mogu unaprijediti učinkovitu provedbu mjera sustav</w:t>
            </w:r>
            <w:r w:rsidR="004D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civilne zaštite. </w:t>
            </w:r>
          </w:p>
          <w:p w:rsidR="00EF63B2" w:rsidRPr="007F3514" w:rsidRDefault="00EF63B2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Potrebno je napraviti popis udruga od značaja za sustav civilne zaštite te ih dodatno financirati kako bi svojim aktivnostima što kvalitetnije osposobljavali svoje članove i nabavljali opremu koja će se koristiti za njihovu redovnu aktivnost ali će biti važna i u slučaju izvanrednih situacija. </w:t>
            </w:r>
            <w:r w:rsidR="00B833A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Udruge koje su od interesa</w:t>
            </w:r>
            <w:r w:rsidR="006512D0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sustav civilne zaštite kao na primjer</w:t>
            </w:r>
            <w:r w:rsidR="00B833A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12D0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lovačka društva</w:t>
            </w:r>
            <w:r w:rsidR="00961C6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833A3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pričuvni su dio operativnih snaga sustava civilne zaštite i svojim sposobnostima nadopunjuju sposobnost temeljnih operativnih snaga.</w:t>
            </w:r>
          </w:p>
          <w:p w:rsidR="00B833A3" w:rsidRPr="007F3514" w:rsidRDefault="00B833A3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potrebe pripravnosti i reagiranja kod velikih nesreća i katastrofa </w:t>
            </w:r>
            <w:r w:rsidR="006512D0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D52011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 Ivan Žabno</w:t>
            </w:r>
            <w:r w:rsidR="005F7399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011"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organizirat</w:t>
            </w:r>
            <w:r w:rsidRPr="007F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će po potrebi i sudjelovanje volontera radi provođenja mjera i aktivnosti u sustavu civilne zaštite.</w:t>
            </w:r>
          </w:p>
          <w:p w:rsidR="00B833A3" w:rsidRPr="007F3514" w:rsidRDefault="0012790A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33A3" w:rsidRPr="007F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POSTROJBE I POVJERENICI CIVILNE ZAŠTITE</w:t>
            </w:r>
          </w:p>
          <w:p w:rsidR="00B833A3" w:rsidRPr="007F3514" w:rsidRDefault="00FA21C7" w:rsidP="0018120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</w:t>
            </w:r>
            <w:r w:rsidR="00CB7C32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4B5CD0" w:rsidRPr="007F3514" w:rsidRDefault="004B5CD0" w:rsidP="004B5C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Sukladno članku 17. Zakonu o sustavu civilne zaštite („Narodne novine broj“ 82/15 izrađena je Procjena rizika od velikih nesreća za Općinu Sveti Ivan Žabno koja je donesena na Općinskom vijeću Općine Sveti Ivan Žabno na 11. sjednici održanoj 28. studenoga 2018. u kojoj je na 225. stranici  u zaključku navedeno da je Procjenom rizika od velikih nesreća za Općinu Sveti Ivan Žabno i analizi stanja spremnosti sustava civilne zaštite,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ukidanje. Stoga se Postrojba civilne zaštite ukida Odlukom o stavljanju izvan snage Odluke o osnivanju i ustroju Postrojbe civilne zaštite Općine Sveti Ivan Žabno koju je Općinsko vijeće  donijelo 28. studenoga 2018.</w:t>
            </w:r>
          </w:p>
          <w:p w:rsidR="00FA21C7" w:rsidRPr="007F3514" w:rsidRDefault="00FA21C7" w:rsidP="001812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833A3" w:rsidRPr="007F3514" w:rsidRDefault="00FA21C7" w:rsidP="0018120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Povjereni</w:t>
            </w:r>
            <w:r w:rsidR="00CB7C32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B833A3" w:rsidRPr="007F3514" w:rsidRDefault="00B833A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Povjerenika civilne zaštite i njegovog zamjenika imenuje </w:t>
            </w:r>
            <w:r w:rsidR="003744B4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općinski načelnik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sukladno članku 33. </w:t>
            </w:r>
            <w:r w:rsidR="001D3330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tavak 3. </w:t>
            </w:r>
            <w:r w:rsidR="007C0122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odstavak 2. Zakona o sustavu civilne zaštite.</w:t>
            </w:r>
          </w:p>
          <w:p w:rsidR="00B833A3" w:rsidRPr="007F3514" w:rsidRDefault="00B833A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Povjerenici i zamjenici</w:t>
            </w:r>
            <w:r w:rsidR="005F7399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833A3" w:rsidRPr="007F3514" w:rsidRDefault="00F046D4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B833A3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udjeluju u pripremanju građana za osobnu i uzajamnu zaštitu te usklađuju provođenje mjera osobne i uzajamne zaštite,</w:t>
            </w:r>
          </w:p>
          <w:p w:rsidR="00B833A3" w:rsidRPr="007F3514" w:rsidRDefault="00F046D4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B833A3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aju obavijesti građanima o pravodobnom poduzimanju mjera civilne zaštite te javne mobilizacije radi sudjelovanju u sustavu civilne zaštite</w:t>
            </w:r>
          </w:p>
          <w:p w:rsidR="00B833A3" w:rsidRPr="007F3514" w:rsidRDefault="00F046D4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B833A3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udjeluju u organiziranju i provođenju evakuacije, sklanjanja, zbrinjavanja i drugih mjera civilne zaštite</w:t>
            </w:r>
            <w:r w:rsidR="005F7399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833A3" w:rsidRPr="007F3514" w:rsidRDefault="00F046D4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="00B833A3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rganiziraju zaštitu i spašavanje pripadnika ranjivih skupina</w:t>
            </w:r>
            <w:r w:rsidR="005F7399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833A3" w:rsidRPr="007F3514" w:rsidRDefault="00F046D4" w:rsidP="00BD364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B833A3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rovjeravaju postavljanje obavijesti o znakovima za uzbunjivanje u stambenim zgradama na području svoje nadležnosti i o propustima obavještavaju inspekciju civilne zaštite. </w:t>
            </w:r>
          </w:p>
          <w:p w:rsidR="00BD364C" w:rsidRPr="007F3514" w:rsidRDefault="00BD364C" w:rsidP="00BD364C">
            <w:pPr>
              <w:pStyle w:val="Odlomakpopisa"/>
              <w:autoSpaceDE w:val="0"/>
              <w:autoSpaceDN w:val="0"/>
              <w:adjustRightInd w:val="0"/>
              <w:spacing w:after="0"/>
              <w:ind w:left="6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33A3" w:rsidRPr="007F3514" w:rsidRDefault="0012790A" w:rsidP="0018120C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KOORDINATOR NA LOKACIJI</w:t>
            </w:r>
          </w:p>
          <w:p w:rsidR="0012790A" w:rsidRPr="007F3514" w:rsidRDefault="0012790A" w:rsidP="0018120C">
            <w:pPr>
              <w:pStyle w:val="Odlomakpopisa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90A" w:rsidRPr="007F3514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Koordinator na lokaciji procjenjuje situaciju i njezine posljedice na terenu te u suradnji s mjerodavnim stožerom civilne zaštite usklađuje djelovanje operativnih snaga sustava civilne zaštite.</w:t>
            </w:r>
          </w:p>
          <w:p w:rsidR="0012790A" w:rsidRPr="007F3514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Koordinatora na lokaciji, sukladno specifičnostima izvanrednog događaja, određuje odlukom načelnik stožera civilne zaštite iz redova operativnih snaga sustava civilne zaštite po osnivanju operativnih snaga civilne zaštite.</w:t>
            </w:r>
          </w:p>
          <w:p w:rsidR="0012790A" w:rsidRPr="007F3514" w:rsidRDefault="0012790A" w:rsidP="0018120C">
            <w:pPr>
              <w:pStyle w:val="Odlomakpopisa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364C" w:rsidRPr="007F3514" w:rsidRDefault="0012790A" w:rsidP="00BD364C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PRAVNE OSOBE U SUSTAVU  CIVILNE ZAŠTITE </w:t>
            </w:r>
          </w:p>
          <w:p w:rsidR="0012790A" w:rsidRPr="007F3514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Pravne osobe od interesa za sustav civilne zaštite određuju se odlukom predstavničkog tijela, a na prijedlog izvršnog tijela sukladno članku 17. stav</w:t>
            </w:r>
            <w:r w:rsidR="00427029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 1. podstav</w:t>
            </w:r>
            <w:r w:rsidR="00427029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 3. Zakona o sustavu civilne zaštite.</w:t>
            </w:r>
          </w:p>
          <w:p w:rsidR="0012790A" w:rsidRPr="007F3514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Pravne osobe određene gore navedenom odlukom dužne su u operativnim planovima izraditi plan o načinu organiziranja provedbe mjera i aktivnosti u sustavu civilne zaštite sukladno odredbama Zakona o sustavu civilne zaštite.</w:t>
            </w:r>
          </w:p>
          <w:p w:rsidR="0012790A" w:rsidRPr="007F3514" w:rsidRDefault="0012790A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790A" w:rsidRPr="007F3514" w:rsidRDefault="00DB28B1" w:rsidP="0018120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PROCJENA RIZIKA I PLAN </w:t>
            </w:r>
            <w:r w:rsidR="0012790A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DJELOVANJA CIVILNE ZAŠTITE</w:t>
            </w:r>
          </w:p>
          <w:p w:rsidR="0012790A" w:rsidRPr="007F3514" w:rsidRDefault="0012790A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2790A" w:rsidRPr="007F3514" w:rsidRDefault="00F046D4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Sukladno članku 17. Zakonu o sustavu civilne zaštite („Narodne novine broj“ 82/15 izrađena je Procjena rizika od velikih nesreća za Općinu Sveti Ivan Žabno koja je donesena na Općinskom vijeću Općine Sveti Ivan Žabno na 11. sjednici održanoj 28. studenoga 2018. P</w:t>
            </w:r>
            <w:r w:rsidR="00B11F5B" w:rsidRPr="007F3514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F5B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djelovanja civilne zaštite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bit će izrađen nakon dobivene suglasnosti</w:t>
            </w:r>
            <w:r w:rsidR="00520C66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Ravnateljstva civilne zaštite Koprivnica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na Odluku o određivanju </w:t>
            </w:r>
            <w:r w:rsidR="00520C66" w:rsidRPr="007F3514">
              <w:rPr>
                <w:rFonts w:ascii="Times New Roman" w:hAnsi="Times New Roman" w:cs="Times New Roman"/>
                <w:sz w:val="24"/>
                <w:szCs w:val="24"/>
              </w:rPr>
              <w:t>pravnih osoba od interesa za sustav civilne zaštite Općine Sveti Ivan Žabno</w:t>
            </w:r>
            <w:r w:rsidR="00B11F5B" w:rsidRPr="007F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F5B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26F0" w:rsidRDefault="00C626F0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26F0" w:rsidRDefault="00C626F0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26F0" w:rsidRDefault="00C626F0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521D" w:rsidRDefault="00EE521D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BF9" w:rsidRDefault="00C24BF9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26F0" w:rsidRPr="007F3514" w:rsidRDefault="00C626F0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7F3514" w:rsidRDefault="00B11F5B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</w:t>
            </w:r>
            <w:r w:rsidR="005F7399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ZAVRŠNA ODREDBA</w:t>
            </w:r>
          </w:p>
          <w:p w:rsidR="00B11F5B" w:rsidRPr="007F3514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1F5B" w:rsidRPr="007F3514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Smjernice za organizaciju i razvoj sustava civilne zaštite </w:t>
            </w:r>
            <w:r w:rsidR="00030B4C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Općine </w:t>
            </w:r>
            <w:r w:rsidR="00C2617B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Sveti Ivan Žabno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period 20</w:t>
            </w:r>
            <w:r w:rsidR="005C0C51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 20</w:t>
            </w:r>
            <w:r w:rsidR="005C0C51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030B4C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godine 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stupaju na snagu </w:t>
            </w:r>
            <w:r w:rsidR="00030B4C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danom donošenja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2617B" w:rsidRPr="007F351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17B" w:rsidRPr="007F351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OPĆINSKO VIJEĆE OPĆINE SVETI IVAN ŽABNO</w:t>
            </w:r>
          </w:p>
          <w:p w:rsidR="00C2617B" w:rsidRPr="007F3514" w:rsidRDefault="00C2617B" w:rsidP="00C261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17B" w:rsidRPr="007F3514" w:rsidRDefault="00C2617B" w:rsidP="00C261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KLASA: 810-03/1</w:t>
            </w:r>
            <w:r w:rsidR="005C0C51" w:rsidRPr="007F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 w:rsidR="007F3514" w:rsidRPr="007F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17B" w:rsidRPr="007F3514" w:rsidRDefault="00C2617B" w:rsidP="00C261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URBROJ: 2137/19-02/1-1</w:t>
            </w:r>
            <w:r w:rsidR="005C0C51" w:rsidRPr="007F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2617B" w:rsidRPr="007F3514" w:rsidRDefault="00C2617B" w:rsidP="00C261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Sveti Ivan Žabno,</w:t>
            </w:r>
            <w:r w:rsidR="00383676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  <w:r w:rsidR="005C0C51" w:rsidRPr="007F3514">
              <w:rPr>
                <w:rFonts w:ascii="Times New Roman" w:hAnsi="Times New Roman" w:cs="Times New Roman"/>
                <w:sz w:val="24"/>
                <w:szCs w:val="24"/>
              </w:rPr>
              <w:t>studenoga</w:t>
            </w:r>
            <w:r w:rsidR="00777857" w:rsidRPr="007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C51" w:rsidRPr="007F35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7B" w:rsidRPr="007F351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C2617B" w:rsidRPr="007F351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717F6C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A0975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717F6C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975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PREDSJEDNI</w:t>
            </w:r>
            <w:r w:rsidR="005C0C51"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7F3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2617B" w:rsidRPr="007F351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A0975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="00C40199"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Krešimir Habijanec</w:t>
            </w:r>
            <w:r w:rsidRPr="007F3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FA21C7" w:rsidRPr="002661F4" w:rsidRDefault="00FA21C7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49A" w:rsidRPr="002661F4" w:rsidRDefault="00E9549A" w:rsidP="00181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549A" w:rsidRPr="002661F4" w:rsidRDefault="00E9549A" w:rsidP="00181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521" w:type="dxa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42"/>
            </w:tblGrid>
            <w:tr w:rsidR="00E9549A" w:rsidRPr="002661F4" w:rsidTr="00A767C3">
              <w:trPr>
                <w:trHeight w:val="348"/>
              </w:trPr>
              <w:tc>
                <w:tcPr>
                  <w:tcW w:w="279" w:type="dxa"/>
                </w:tcPr>
                <w:p w:rsidR="00E9549A" w:rsidRPr="002661F4" w:rsidRDefault="00E9549A" w:rsidP="0018120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42" w:type="dxa"/>
                </w:tcPr>
                <w:p w:rsidR="00E9549A" w:rsidRPr="002661F4" w:rsidRDefault="00E9549A" w:rsidP="0018120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14117" w:rsidRPr="002661F4" w:rsidRDefault="00314117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AA" w:rsidRPr="00314117" w:rsidTr="00F046D4">
        <w:trPr>
          <w:trHeight w:val="7272"/>
        </w:trPr>
        <w:tc>
          <w:tcPr>
            <w:tcW w:w="10173" w:type="dxa"/>
          </w:tcPr>
          <w:p w:rsidR="009270AA" w:rsidRPr="002661F4" w:rsidRDefault="009270AA" w:rsidP="0018120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8B0" w:rsidRDefault="008C48B0" w:rsidP="001812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48B0" w:rsidSect="009270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03" w:rsidRDefault="00DB7603" w:rsidP="009969FC">
      <w:pPr>
        <w:spacing w:after="0" w:line="240" w:lineRule="auto"/>
      </w:pPr>
      <w:r>
        <w:separator/>
      </w:r>
    </w:p>
  </w:endnote>
  <w:endnote w:type="continuationSeparator" w:id="0">
    <w:p w:rsidR="00DB7603" w:rsidRDefault="00DB7603" w:rsidP="009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620417"/>
      <w:docPartObj>
        <w:docPartGallery w:val="Page Numbers (Bottom of Page)"/>
        <w:docPartUnique/>
      </w:docPartObj>
    </w:sdtPr>
    <w:sdtEndPr/>
    <w:sdtContent>
      <w:p w:rsidR="009969FC" w:rsidRDefault="009969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75">
          <w:rPr>
            <w:noProof/>
          </w:rPr>
          <w:t>5</w:t>
        </w:r>
        <w:r>
          <w:fldChar w:fldCharType="end"/>
        </w:r>
      </w:p>
    </w:sdtContent>
  </w:sdt>
  <w:p w:rsidR="009969FC" w:rsidRDefault="009969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03" w:rsidRDefault="00DB7603" w:rsidP="009969FC">
      <w:pPr>
        <w:spacing w:after="0" w:line="240" w:lineRule="auto"/>
      </w:pPr>
      <w:r>
        <w:separator/>
      </w:r>
    </w:p>
  </w:footnote>
  <w:footnote w:type="continuationSeparator" w:id="0">
    <w:p w:rsidR="00DB7603" w:rsidRDefault="00DB7603" w:rsidP="009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327E"/>
    <w:multiLevelType w:val="hybridMultilevel"/>
    <w:tmpl w:val="9404E962"/>
    <w:lvl w:ilvl="0" w:tplc="9932C3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20E232D2"/>
    <w:multiLevelType w:val="hybridMultilevel"/>
    <w:tmpl w:val="551440E2"/>
    <w:lvl w:ilvl="0" w:tplc="28382F5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865CE4"/>
    <w:multiLevelType w:val="hybridMultilevel"/>
    <w:tmpl w:val="0BF4ED58"/>
    <w:lvl w:ilvl="0" w:tplc="1EB0BAD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376D048F"/>
    <w:multiLevelType w:val="hybridMultilevel"/>
    <w:tmpl w:val="3072E192"/>
    <w:lvl w:ilvl="0" w:tplc="5EA07CF4">
      <w:start w:val="1"/>
      <w:numFmt w:val="upperRoman"/>
      <w:lvlText w:val="%1."/>
      <w:lvlJc w:val="left"/>
      <w:pPr>
        <w:ind w:left="100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47DE4951"/>
    <w:multiLevelType w:val="hybridMultilevel"/>
    <w:tmpl w:val="661012FE"/>
    <w:lvl w:ilvl="0" w:tplc="5FBE73F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68530AB9"/>
    <w:multiLevelType w:val="hybridMultilevel"/>
    <w:tmpl w:val="A5C2906E"/>
    <w:lvl w:ilvl="0" w:tplc="CD409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6AA34EBF"/>
    <w:multiLevelType w:val="hybridMultilevel"/>
    <w:tmpl w:val="57EC6964"/>
    <w:lvl w:ilvl="0" w:tplc="041A000F">
      <w:start w:val="1"/>
      <w:numFmt w:val="decimal"/>
      <w:lvlText w:val="%1."/>
      <w:lvlJc w:val="left"/>
      <w:pPr>
        <w:ind w:left="1002" w:hanging="360"/>
      </w:p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7038644E"/>
    <w:multiLevelType w:val="multilevel"/>
    <w:tmpl w:val="8DBE5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C7"/>
    <w:rsid w:val="00001075"/>
    <w:rsid w:val="00030B4C"/>
    <w:rsid w:val="00046E60"/>
    <w:rsid w:val="000512C3"/>
    <w:rsid w:val="00063AD1"/>
    <w:rsid w:val="00063F53"/>
    <w:rsid w:val="0007154E"/>
    <w:rsid w:val="000A3D50"/>
    <w:rsid w:val="000C531A"/>
    <w:rsid w:val="000D653C"/>
    <w:rsid w:val="001178DD"/>
    <w:rsid w:val="0012790A"/>
    <w:rsid w:val="001342C9"/>
    <w:rsid w:val="001557B7"/>
    <w:rsid w:val="00155E6E"/>
    <w:rsid w:val="0018120C"/>
    <w:rsid w:val="001D3330"/>
    <w:rsid w:val="00210859"/>
    <w:rsid w:val="002661F4"/>
    <w:rsid w:val="00266B2A"/>
    <w:rsid w:val="002D4C03"/>
    <w:rsid w:val="002E621A"/>
    <w:rsid w:val="00314117"/>
    <w:rsid w:val="00340DC6"/>
    <w:rsid w:val="0034591A"/>
    <w:rsid w:val="00364806"/>
    <w:rsid w:val="003744B4"/>
    <w:rsid w:val="003821AD"/>
    <w:rsid w:val="00383676"/>
    <w:rsid w:val="00397283"/>
    <w:rsid w:val="003B696B"/>
    <w:rsid w:val="003E7AD5"/>
    <w:rsid w:val="00400DA2"/>
    <w:rsid w:val="00427029"/>
    <w:rsid w:val="0043759F"/>
    <w:rsid w:val="004734BA"/>
    <w:rsid w:val="00482F41"/>
    <w:rsid w:val="004B5CD0"/>
    <w:rsid w:val="004D7336"/>
    <w:rsid w:val="004E14E3"/>
    <w:rsid w:val="004F4490"/>
    <w:rsid w:val="00506CA0"/>
    <w:rsid w:val="00520C66"/>
    <w:rsid w:val="00532245"/>
    <w:rsid w:val="00541A7D"/>
    <w:rsid w:val="005912D3"/>
    <w:rsid w:val="00595270"/>
    <w:rsid w:val="005A01F7"/>
    <w:rsid w:val="005A691E"/>
    <w:rsid w:val="005C0C51"/>
    <w:rsid w:val="005E0261"/>
    <w:rsid w:val="005F7399"/>
    <w:rsid w:val="00605BC6"/>
    <w:rsid w:val="006505EB"/>
    <w:rsid w:val="006512D0"/>
    <w:rsid w:val="006666C5"/>
    <w:rsid w:val="006810F6"/>
    <w:rsid w:val="006A02B1"/>
    <w:rsid w:val="006A6DD2"/>
    <w:rsid w:val="006D7379"/>
    <w:rsid w:val="006E18FA"/>
    <w:rsid w:val="00717F6C"/>
    <w:rsid w:val="00724528"/>
    <w:rsid w:val="007343E7"/>
    <w:rsid w:val="00762D9C"/>
    <w:rsid w:val="00777857"/>
    <w:rsid w:val="007C0122"/>
    <w:rsid w:val="007C1E98"/>
    <w:rsid w:val="007D13FE"/>
    <w:rsid w:val="007E652C"/>
    <w:rsid w:val="007F3514"/>
    <w:rsid w:val="008319B2"/>
    <w:rsid w:val="0084039D"/>
    <w:rsid w:val="0086619A"/>
    <w:rsid w:val="00886E26"/>
    <w:rsid w:val="008A5BCB"/>
    <w:rsid w:val="008C48B0"/>
    <w:rsid w:val="0092232C"/>
    <w:rsid w:val="009270AA"/>
    <w:rsid w:val="00961C69"/>
    <w:rsid w:val="00973FE1"/>
    <w:rsid w:val="009969FC"/>
    <w:rsid w:val="009A0FE1"/>
    <w:rsid w:val="009C0EB7"/>
    <w:rsid w:val="009E77A7"/>
    <w:rsid w:val="00A02BA2"/>
    <w:rsid w:val="00A16081"/>
    <w:rsid w:val="00A439BE"/>
    <w:rsid w:val="00A70728"/>
    <w:rsid w:val="00AC06B5"/>
    <w:rsid w:val="00AD6422"/>
    <w:rsid w:val="00B11F5B"/>
    <w:rsid w:val="00B14C89"/>
    <w:rsid w:val="00B31649"/>
    <w:rsid w:val="00B4754F"/>
    <w:rsid w:val="00B72A74"/>
    <w:rsid w:val="00B765DF"/>
    <w:rsid w:val="00B76CB6"/>
    <w:rsid w:val="00B820CB"/>
    <w:rsid w:val="00B833A3"/>
    <w:rsid w:val="00BC67B8"/>
    <w:rsid w:val="00BD364C"/>
    <w:rsid w:val="00C23E34"/>
    <w:rsid w:val="00C24BF9"/>
    <w:rsid w:val="00C2617B"/>
    <w:rsid w:val="00C40199"/>
    <w:rsid w:val="00C626F0"/>
    <w:rsid w:val="00C72149"/>
    <w:rsid w:val="00CA7954"/>
    <w:rsid w:val="00CB7C32"/>
    <w:rsid w:val="00D37D5C"/>
    <w:rsid w:val="00D43030"/>
    <w:rsid w:val="00D52011"/>
    <w:rsid w:val="00D5734B"/>
    <w:rsid w:val="00D57529"/>
    <w:rsid w:val="00D87C6A"/>
    <w:rsid w:val="00DA0975"/>
    <w:rsid w:val="00DB28B1"/>
    <w:rsid w:val="00DB5968"/>
    <w:rsid w:val="00DB7603"/>
    <w:rsid w:val="00DB762A"/>
    <w:rsid w:val="00DE1009"/>
    <w:rsid w:val="00DE7A8E"/>
    <w:rsid w:val="00DF1D69"/>
    <w:rsid w:val="00E041CB"/>
    <w:rsid w:val="00E45063"/>
    <w:rsid w:val="00E55458"/>
    <w:rsid w:val="00E647A6"/>
    <w:rsid w:val="00E941E8"/>
    <w:rsid w:val="00E9549A"/>
    <w:rsid w:val="00EB4DB8"/>
    <w:rsid w:val="00EE521D"/>
    <w:rsid w:val="00EF63B2"/>
    <w:rsid w:val="00F046D4"/>
    <w:rsid w:val="00F1420C"/>
    <w:rsid w:val="00F4526E"/>
    <w:rsid w:val="00FA21C7"/>
    <w:rsid w:val="00FA362D"/>
    <w:rsid w:val="00FA60E0"/>
    <w:rsid w:val="00FB14A2"/>
    <w:rsid w:val="00FB4525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5FBE"/>
  <w15:docId w15:val="{23AB59C9-4A0B-4CD5-B6EB-6BEBFF7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  <w:style w:type="paragraph" w:styleId="Tekstbalonia">
    <w:name w:val="Balloon Text"/>
    <w:basedOn w:val="Normal"/>
    <w:link w:val="TekstbaloniaChar"/>
    <w:uiPriority w:val="99"/>
    <w:semiHidden/>
    <w:unhideWhenUsed/>
    <w:rsid w:val="00B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1EFB-E56F-4513-B41B-54F1C0A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Korisnik</cp:lastModifiedBy>
  <cp:revision>59</cp:revision>
  <cp:lastPrinted>2016-04-04T06:27:00Z</cp:lastPrinted>
  <dcterms:created xsi:type="dcterms:W3CDTF">2016-06-07T07:09:00Z</dcterms:created>
  <dcterms:modified xsi:type="dcterms:W3CDTF">2019-11-20T11:56:00Z</dcterms:modified>
</cp:coreProperties>
</file>